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54" w:rsidRDefault="00370C54" w:rsidP="00370C54">
      <w:pPr>
        <w:ind w:left="720" w:hanging="720"/>
        <w:rPr>
          <w:rFonts w:ascii="Tahoma" w:hAnsi="Tahoma" w:cs="Tahoma"/>
        </w:rPr>
      </w:pPr>
      <w:bookmarkStart w:id="0" w:name="_GoBack"/>
      <w:bookmarkEnd w:id="0"/>
      <w:r>
        <w:rPr>
          <w:rFonts w:ascii="Tahoma" w:hAnsi="Tahoma" w:cs="Tahoma"/>
        </w:rPr>
        <w:t>Q.</w:t>
      </w:r>
      <w:r>
        <w:rPr>
          <w:rFonts w:ascii="Tahoma" w:hAnsi="Tahoma" w:cs="Tahoma"/>
        </w:rPr>
        <w:tab/>
        <w:t xml:space="preserve">Should I use the renewal app for our consolidations? And then just combine APR data even though the grant cycles aren't the same? Or should we use the new app?  And what about consolidation + expansion?  </w:t>
      </w:r>
      <w:proofErr w:type="gramStart"/>
      <w:r>
        <w:rPr>
          <w:rFonts w:ascii="Tahoma" w:hAnsi="Tahoma" w:cs="Tahoma"/>
        </w:rPr>
        <w:t>( I</w:t>
      </w:r>
      <w:proofErr w:type="gramEnd"/>
      <w:r>
        <w:rPr>
          <w:rFonts w:ascii="Tahoma" w:hAnsi="Tahoma" w:cs="Tahoma"/>
        </w:rPr>
        <w:t xml:space="preserve"> haven't heard back if that's an acceptable thing to do - consolidate RR and then expand it a bit and the same with PSH).  I'd assume the expansions would be the new app since we'd have new budgets.</w:t>
      </w:r>
    </w:p>
    <w:p w:rsidR="00370C54" w:rsidRDefault="00370C54" w:rsidP="00370C54">
      <w:pPr>
        <w:ind w:left="720" w:hanging="720"/>
        <w:rPr>
          <w:rFonts w:ascii="Tahoma" w:hAnsi="Tahoma" w:cs="Tahoma"/>
        </w:rPr>
      </w:pPr>
    </w:p>
    <w:p w:rsidR="00370C54" w:rsidRDefault="00370C54" w:rsidP="00370C54">
      <w:pPr>
        <w:ind w:left="720" w:hanging="720"/>
        <w:rPr>
          <w:rFonts w:ascii="Tahoma" w:hAnsi="Tahoma" w:cs="Tahoma"/>
        </w:rPr>
      </w:pPr>
      <w:r>
        <w:rPr>
          <w:rFonts w:ascii="Tahoma" w:hAnsi="Tahoma" w:cs="Tahoma"/>
        </w:rPr>
        <w:t>A.</w:t>
      </w:r>
      <w:r>
        <w:rPr>
          <w:rFonts w:ascii="Tahoma" w:hAnsi="Tahoma" w:cs="Tahoma"/>
        </w:rPr>
        <w:tab/>
        <w:t xml:space="preserve">If you are questioning whether you need to do a written application for your consolidated </w:t>
      </w:r>
      <w:r w:rsidR="00EE1CD8">
        <w:rPr>
          <w:rFonts w:ascii="Tahoma" w:hAnsi="Tahoma" w:cs="Tahoma"/>
        </w:rPr>
        <w:t xml:space="preserve">application, the answer is no.  Consolidated applications are </w:t>
      </w:r>
      <w:r w:rsidR="009D30AE">
        <w:rPr>
          <w:rFonts w:ascii="Tahoma" w:hAnsi="Tahoma" w:cs="Tahoma"/>
        </w:rPr>
        <w:t xml:space="preserve">not scored as a consolidation but given the same ranking number as the highest scored individual application.  </w:t>
      </w:r>
    </w:p>
    <w:p w:rsidR="009D30AE" w:rsidRDefault="009D30AE" w:rsidP="00370C54">
      <w:pPr>
        <w:ind w:left="720" w:hanging="720"/>
        <w:rPr>
          <w:rFonts w:ascii="Tahoma" w:hAnsi="Tahoma" w:cs="Tahoma"/>
        </w:rPr>
      </w:pPr>
    </w:p>
    <w:p w:rsidR="006E473F" w:rsidRDefault="009D30AE" w:rsidP="00370C54">
      <w:pPr>
        <w:ind w:left="720" w:hanging="720"/>
        <w:rPr>
          <w:rFonts w:ascii="Tahoma" w:hAnsi="Tahoma" w:cs="Tahoma"/>
        </w:rPr>
      </w:pPr>
      <w:r>
        <w:rPr>
          <w:rFonts w:ascii="Tahoma" w:hAnsi="Tahoma" w:cs="Tahoma"/>
        </w:rPr>
        <w:tab/>
      </w:r>
      <w:r w:rsidR="00A43912">
        <w:rPr>
          <w:rFonts w:ascii="Tahoma" w:hAnsi="Tahoma" w:cs="Tahoma"/>
        </w:rPr>
        <w:t>In terms of the expansion project, I believe that you would identify your renewal expansion project as the renewal application to be consolidated. If HUD then doesn’t award the expansion they will separate and award scored projects individuall</w:t>
      </w:r>
      <w:r w:rsidR="006E473F">
        <w:rPr>
          <w:rFonts w:ascii="Tahoma" w:hAnsi="Tahoma" w:cs="Tahoma"/>
        </w:rPr>
        <w:t>y.  I have asked for some guidance on this but would proceed this way.</w:t>
      </w:r>
    </w:p>
    <w:p w:rsidR="003F0A1F" w:rsidRDefault="003F0A1F" w:rsidP="00370C54">
      <w:pPr>
        <w:ind w:left="720" w:hanging="720"/>
        <w:rPr>
          <w:rFonts w:ascii="Tahoma" w:hAnsi="Tahoma" w:cs="Tahoma"/>
        </w:rPr>
      </w:pPr>
    </w:p>
    <w:p w:rsidR="003F0A1F" w:rsidRPr="003F0A1F" w:rsidRDefault="003F0A1F" w:rsidP="00370C54">
      <w:pPr>
        <w:ind w:left="720" w:hanging="720"/>
        <w:rPr>
          <w:rFonts w:ascii="Arial" w:hAnsi="Arial" w:cs="Arial"/>
          <w:sz w:val="28"/>
          <w:szCs w:val="28"/>
        </w:rPr>
      </w:pPr>
      <w:r>
        <w:rPr>
          <w:rFonts w:ascii="Tahoma" w:hAnsi="Tahoma" w:cs="Tahoma"/>
        </w:rPr>
        <w:tab/>
        <w:t xml:space="preserve">Just to clarify, you must do three applications for an expansion project.  </w:t>
      </w:r>
      <w:r w:rsidRPr="003F0A1F">
        <w:rPr>
          <w:rFonts w:ascii="Arial" w:hAnsi="Arial" w:cs="Arial"/>
          <w:sz w:val="28"/>
          <w:szCs w:val="28"/>
        </w:rPr>
        <w:t>For projects that are expanding their current CoC Program-funded project, project applicants will be required to submit three project applications: (1) the renewal project application that will be expanded; and (2) a new project application with just the expansion information; and (3) a renewal project application that incorporates the renewal and new expansion activities and the combined budget line items for the renewal and the new expansion</w:t>
      </w:r>
    </w:p>
    <w:p w:rsidR="006E473F" w:rsidRDefault="006E473F" w:rsidP="00370C54">
      <w:pPr>
        <w:ind w:left="720" w:hanging="720"/>
        <w:rPr>
          <w:rFonts w:ascii="Tahoma" w:hAnsi="Tahoma" w:cs="Tahoma"/>
        </w:rPr>
      </w:pPr>
    </w:p>
    <w:p w:rsidR="003F0A1F" w:rsidRDefault="003F0A1F" w:rsidP="003F0A1F">
      <w:pPr>
        <w:rPr>
          <w:sz w:val="22"/>
          <w:szCs w:val="22"/>
        </w:rPr>
      </w:pPr>
      <w:r>
        <w:t>I have a few questions about the NOFA application and/or CoC process if awarded:</w:t>
      </w:r>
    </w:p>
    <w:p w:rsidR="003F0A1F" w:rsidRDefault="003F0A1F" w:rsidP="003F0A1F"/>
    <w:p w:rsidR="003F0A1F" w:rsidRDefault="003F0A1F" w:rsidP="003F0A1F">
      <w:pPr>
        <w:ind w:left="720" w:hanging="720"/>
      </w:pPr>
      <w:r>
        <w:t>Q.</w:t>
      </w:r>
      <w:r>
        <w:tab/>
        <w:t>Please confirm, rental units are in the tenants names as ultimately the tenant will assume full payment of the monthly rental cost, correct?</w:t>
      </w:r>
    </w:p>
    <w:p w:rsidR="003F0A1F" w:rsidRDefault="003F0A1F" w:rsidP="003F0A1F">
      <w:pPr>
        <w:ind w:left="720" w:hanging="720"/>
      </w:pPr>
    </w:p>
    <w:p w:rsidR="003F0A1F" w:rsidRDefault="003F0A1F" w:rsidP="003F0A1F">
      <w:pPr>
        <w:ind w:left="720" w:hanging="720"/>
      </w:pPr>
      <w:r>
        <w:t>A.</w:t>
      </w:r>
      <w:r>
        <w:tab/>
        <w:t>If rapid rehousing, correct.</w:t>
      </w:r>
    </w:p>
    <w:p w:rsidR="003F0A1F" w:rsidRDefault="003F0A1F" w:rsidP="003F0A1F">
      <w:pPr>
        <w:ind w:left="720" w:hanging="720"/>
      </w:pPr>
    </w:p>
    <w:p w:rsidR="003F0A1F" w:rsidRDefault="003F0A1F" w:rsidP="003F0A1F">
      <w:pPr>
        <w:ind w:left="720" w:hanging="720"/>
      </w:pPr>
      <w:r>
        <w:t>Q.</w:t>
      </w:r>
      <w:r>
        <w:tab/>
        <w:t>As we delve into rapid rehousing from a history of providing transitional housing, an appeared difference between the two types of programming is location of living space.  Typically, transitional housing is provided in a centralized location where rapid rehousing appears to provide for a greater flexibility on location.  To that end, is it allowable for rapid rehousing units to be in a central location or must the rapid rehousing units be scattered? Meaning if we secured a relationship with a landlord who owns an apartment complex or perhaps a landlord who owns a 4-family or 2-family is that allowable as long as the program itself is operated through the lens of rapid rehousing and not transitional housing?</w:t>
      </w:r>
    </w:p>
    <w:p w:rsidR="00091E5A" w:rsidRDefault="00091E5A" w:rsidP="003F0A1F">
      <w:pPr>
        <w:ind w:left="720" w:hanging="720"/>
      </w:pPr>
      <w:r>
        <w:lastRenderedPageBreak/>
        <w:t>A.</w:t>
      </w:r>
      <w:r>
        <w:tab/>
        <w:t>When necessary to coordinate the facilitation of supportive services, sub recipients may require the participants to live in a specific structure for up to one year and a specific area for the additional year.  It cannot be done just to facilitate a rental agreement with a landlord.</w:t>
      </w:r>
    </w:p>
    <w:p w:rsidR="00091E5A" w:rsidRDefault="00091E5A" w:rsidP="003F0A1F">
      <w:pPr>
        <w:ind w:left="720" w:hanging="720"/>
      </w:pPr>
    </w:p>
    <w:p w:rsidR="00091E5A" w:rsidRDefault="00091E5A" w:rsidP="003F0A1F">
      <w:pPr>
        <w:ind w:left="720" w:hanging="720"/>
      </w:pPr>
    </w:p>
    <w:p w:rsidR="00370C54" w:rsidRDefault="00370C54"/>
    <w:p w:rsidR="00091E5A" w:rsidRDefault="00091E5A" w:rsidP="00091E5A">
      <w:pPr>
        <w:ind w:left="720" w:hanging="720"/>
      </w:pPr>
      <w:r>
        <w:t>Q.</w:t>
      </w:r>
      <w:r>
        <w:tab/>
        <w:t>Please confirm, if awarded, our agency would pay the rent and then be reimbursed by the city of Rockford, correct?</w:t>
      </w:r>
    </w:p>
    <w:p w:rsidR="00091E5A" w:rsidRDefault="00091E5A" w:rsidP="00091E5A">
      <w:pPr>
        <w:ind w:left="720" w:hanging="720"/>
      </w:pPr>
    </w:p>
    <w:p w:rsidR="00091E5A" w:rsidRDefault="00091E5A" w:rsidP="00091E5A">
      <w:pPr>
        <w:ind w:left="720" w:hanging="720"/>
        <w:rPr>
          <w:sz w:val="22"/>
          <w:szCs w:val="22"/>
        </w:rPr>
      </w:pPr>
      <w:r>
        <w:t>A.</w:t>
      </w:r>
      <w:r>
        <w:tab/>
        <w:t>Yes for the TH portion but no for the RRH portion.  The city would pay the rental costs in RRH from grant funds.</w:t>
      </w:r>
    </w:p>
    <w:p w:rsidR="00370C54" w:rsidRDefault="00370C54"/>
    <w:p w:rsidR="00091E5A" w:rsidRDefault="00091E5A" w:rsidP="00091E5A">
      <w:pPr>
        <w:ind w:left="720" w:hanging="720"/>
        <w:rPr>
          <w:rFonts w:ascii="Tahoma" w:hAnsi="Tahoma" w:cs="Tahoma"/>
        </w:rPr>
      </w:pPr>
      <w:r>
        <w:rPr>
          <w:rFonts w:ascii="Tahoma" w:hAnsi="Tahoma" w:cs="Tahoma"/>
        </w:rPr>
        <w:t>Q.</w:t>
      </w:r>
      <w:r>
        <w:rPr>
          <w:rFonts w:ascii="Tahoma" w:hAnsi="Tahoma" w:cs="Tahoma"/>
        </w:rPr>
        <w:tab/>
        <w:t>As I'm entering the APR data into the application, I'm wondering how it'll be used. Because putting down the number of people who accomplish a performance measure without any context probably won't work for the people ranking the projects.  And probably won't work for whoever is scoring them.  I'm putting in a screen shot of my RR2 data.  Part of what I think will be confusing is numbers without knowing how many people total the measure should apply to. While we had 44 total leavers, most of those were not adults (and many just moved to our RR1 project).  On Q19a1 if I answer 1 - just 1 person increased their income by follow-up - that doesn't sound good at all.  But it was 1 out of 1.  So 100%. On my RR1 APR it's 0. That looks bad. But it's 0 out of 0. </w:t>
      </w:r>
      <w:r>
        <w:rPr>
          <w:rFonts w:ascii="Tahoma" w:hAnsi="Tahoma" w:cs="Tahoma"/>
        </w:rPr>
        <w:br/>
      </w:r>
    </w:p>
    <w:p w:rsidR="00091E5A" w:rsidRDefault="00091E5A" w:rsidP="00091E5A">
      <w:pPr>
        <w:ind w:left="720" w:hanging="720"/>
        <w:rPr>
          <w:rFonts w:ascii="Tahoma" w:hAnsi="Tahoma" w:cs="Tahoma"/>
        </w:rPr>
      </w:pPr>
      <w:r>
        <w:rPr>
          <w:rFonts w:ascii="Tahoma" w:hAnsi="Tahoma" w:cs="Tahoma"/>
        </w:rPr>
        <w:t>A.</w:t>
      </w:r>
      <w:r>
        <w:rPr>
          <w:rFonts w:ascii="Tahoma" w:hAnsi="Tahoma" w:cs="Tahoma"/>
        </w:rPr>
        <w:tab/>
        <w:t>As CA, we were going to do the percentages prior to scoring.  If you want to do them yourself, that’s fine but we will be verifying them still.</w:t>
      </w:r>
    </w:p>
    <w:p w:rsidR="00091E5A" w:rsidRDefault="00091E5A"/>
    <w:p w:rsidR="00DC4573" w:rsidRDefault="00DC4573" w:rsidP="00DC4573">
      <w:pPr>
        <w:ind w:left="720" w:hanging="720"/>
        <w:rPr>
          <w:rFonts w:ascii="Calibri" w:eastAsia="Times New Roman" w:hAnsi="Calibri"/>
          <w:sz w:val="22"/>
          <w:szCs w:val="22"/>
        </w:rPr>
      </w:pPr>
      <w:r>
        <w:t>Q.</w:t>
      </w:r>
      <w:r>
        <w:tab/>
      </w:r>
      <w:r>
        <w:rPr>
          <w:rFonts w:ascii="Calibri" w:eastAsia="Times New Roman" w:hAnsi="Calibri"/>
          <w:sz w:val="22"/>
          <w:szCs w:val="22"/>
        </w:rPr>
        <w:t xml:space="preserve">PH-PSH Screen 6C. Rental Assistance Budget – When selecting our areas FMR it populates with I believe 2018 FMR’s $720 1-beds (35)/$958 2-beds (12) for a total of $440,352 Rental Assistance. GIW only provides for $401,760.  I don’t think this is an issue because HUD knows this fluctuates but I am just uneasy because I don’t want to push over the ARD.  The Special instructs say to use the Grant Inventory Worksheet budget, but even when I try to do a new budget, the dollar amounts stated pull in automatically. This will not match my paper application. </w:t>
      </w:r>
    </w:p>
    <w:p w:rsidR="00DC4573" w:rsidRDefault="00DC4573" w:rsidP="00DC4573">
      <w:pPr>
        <w:numPr>
          <w:ilvl w:val="0"/>
          <w:numId w:val="2"/>
        </w:numPr>
        <w:rPr>
          <w:rFonts w:ascii="Calibri" w:eastAsia="Times New Roman" w:hAnsi="Calibri"/>
          <w:sz w:val="22"/>
          <w:szCs w:val="22"/>
        </w:rPr>
      </w:pPr>
      <w:r>
        <w:rPr>
          <w:rFonts w:ascii="Calibri" w:eastAsia="Times New Roman" w:hAnsi="Calibri"/>
          <w:sz w:val="22"/>
          <w:szCs w:val="22"/>
        </w:rPr>
        <w:t xml:space="preserve">The paper-based application AND the </w:t>
      </w:r>
      <w:proofErr w:type="spellStart"/>
      <w:r>
        <w:rPr>
          <w:rFonts w:ascii="Calibri" w:eastAsia="Times New Roman" w:hAnsi="Calibri"/>
          <w:sz w:val="22"/>
          <w:szCs w:val="22"/>
        </w:rPr>
        <w:t>eSnaps</w:t>
      </w:r>
      <w:proofErr w:type="spellEnd"/>
      <w:r>
        <w:rPr>
          <w:rFonts w:ascii="Calibri" w:eastAsia="Times New Roman" w:hAnsi="Calibri"/>
          <w:sz w:val="22"/>
          <w:szCs w:val="22"/>
        </w:rPr>
        <w:t xml:space="preserve"> PDF need to be emailed to you by 5PM 8/30 </w:t>
      </w:r>
      <w:r>
        <w:rPr>
          <w:rFonts w:ascii="Calibri" w:eastAsia="Times New Roman" w:hAnsi="Calibri"/>
          <w:sz w:val="22"/>
          <w:szCs w:val="22"/>
          <w:u w:val="single"/>
        </w:rPr>
        <w:t>BUT</w:t>
      </w:r>
      <w:r>
        <w:rPr>
          <w:rFonts w:ascii="Calibri" w:eastAsia="Times New Roman" w:hAnsi="Calibri"/>
          <w:sz w:val="22"/>
          <w:szCs w:val="22"/>
        </w:rPr>
        <w:t xml:space="preserve"> we cannot submit our project application through </w:t>
      </w:r>
      <w:proofErr w:type="spellStart"/>
      <w:r>
        <w:rPr>
          <w:rFonts w:ascii="Calibri" w:eastAsia="Times New Roman" w:hAnsi="Calibri"/>
          <w:sz w:val="22"/>
          <w:szCs w:val="22"/>
        </w:rPr>
        <w:t>eSnaps</w:t>
      </w:r>
      <w:proofErr w:type="spellEnd"/>
      <w:r>
        <w:rPr>
          <w:rFonts w:ascii="Calibri" w:eastAsia="Times New Roman" w:hAnsi="Calibri"/>
          <w:sz w:val="22"/>
          <w:szCs w:val="22"/>
        </w:rPr>
        <w:t xml:space="preserve"> (up to you) until 8/26 or later. It goes on to say that applications that are incorrect will negatively affect our score – how much/how many points? </w:t>
      </w:r>
    </w:p>
    <w:p w:rsidR="00DC4573" w:rsidRDefault="00DC4573" w:rsidP="00DC4573">
      <w:pPr>
        <w:numPr>
          <w:ilvl w:val="0"/>
          <w:numId w:val="2"/>
        </w:numPr>
        <w:rPr>
          <w:rFonts w:ascii="Calibri" w:eastAsia="Times New Roman" w:hAnsi="Calibri"/>
          <w:sz w:val="22"/>
          <w:szCs w:val="22"/>
        </w:rPr>
      </w:pPr>
      <w:r>
        <w:rPr>
          <w:rFonts w:ascii="Calibri" w:eastAsia="Times New Roman" w:hAnsi="Calibri"/>
          <w:sz w:val="22"/>
          <w:szCs w:val="22"/>
        </w:rPr>
        <w:t>For the 2% return of unspent funds, is that in the NOFA?</w:t>
      </w:r>
    </w:p>
    <w:p w:rsidR="00DC4573" w:rsidRDefault="00DC4573" w:rsidP="00DC4573">
      <w:pPr>
        <w:numPr>
          <w:ilvl w:val="0"/>
          <w:numId w:val="2"/>
        </w:numPr>
        <w:rPr>
          <w:rFonts w:ascii="Calibri" w:eastAsia="Times New Roman" w:hAnsi="Calibri"/>
          <w:sz w:val="22"/>
          <w:szCs w:val="22"/>
        </w:rPr>
      </w:pPr>
      <w:r>
        <w:rPr>
          <w:rFonts w:ascii="Calibri" w:eastAsia="Times New Roman" w:hAnsi="Calibri"/>
          <w:sz w:val="22"/>
          <w:szCs w:val="22"/>
        </w:rPr>
        <w:t xml:space="preserve">For the Complete Cost Per Unit Formula – What is a good cost range? Can you point me to where HUD specifies that? </w:t>
      </w:r>
    </w:p>
    <w:p w:rsidR="00DC4573" w:rsidRDefault="00DC4573" w:rsidP="00DC4573">
      <w:pPr>
        <w:rPr>
          <w:rFonts w:ascii="Calibri" w:eastAsia="Times New Roman" w:hAnsi="Calibri"/>
          <w:sz w:val="22"/>
          <w:szCs w:val="22"/>
        </w:rPr>
      </w:pPr>
      <w:r w:rsidRPr="00DC4573">
        <w:rPr>
          <w:rFonts w:ascii="Calibri" w:eastAsia="Times New Roman" w:hAnsi="Calibri"/>
          <w:sz w:val="22"/>
          <w:szCs w:val="22"/>
          <w:highlight w:val="yellow"/>
        </w:rPr>
        <w:t>A.  These three will be answered later today.</w:t>
      </w:r>
    </w:p>
    <w:p w:rsidR="00DC4573" w:rsidRDefault="00DC4573" w:rsidP="00DC4573">
      <w:pPr>
        <w:rPr>
          <w:rFonts w:ascii="Calibri" w:hAnsi="Calibri"/>
          <w:sz w:val="22"/>
          <w:szCs w:val="22"/>
        </w:rPr>
      </w:pPr>
    </w:p>
    <w:p w:rsidR="00DC4573" w:rsidRDefault="00DC4573"/>
    <w:sectPr w:rsidR="00DC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241BF"/>
    <w:multiLevelType w:val="hybridMultilevel"/>
    <w:tmpl w:val="4DF8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5139AC"/>
    <w:multiLevelType w:val="hybridMultilevel"/>
    <w:tmpl w:val="84FC32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54"/>
    <w:rsid w:val="00091E5A"/>
    <w:rsid w:val="0029688A"/>
    <w:rsid w:val="00370C54"/>
    <w:rsid w:val="003F0A1F"/>
    <w:rsid w:val="006263D6"/>
    <w:rsid w:val="006E473F"/>
    <w:rsid w:val="009D30AE"/>
    <w:rsid w:val="00A43912"/>
    <w:rsid w:val="00D1393C"/>
    <w:rsid w:val="00DC4573"/>
    <w:rsid w:val="00EE1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A8294-7A4B-42F3-9F39-99576B72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5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1F"/>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2365">
      <w:bodyDiv w:val="1"/>
      <w:marLeft w:val="0"/>
      <w:marRight w:val="0"/>
      <w:marTop w:val="0"/>
      <w:marBottom w:val="0"/>
      <w:divBdr>
        <w:top w:val="none" w:sz="0" w:space="0" w:color="auto"/>
        <w:left w:val="none" w:sz="0" w:space="0" w:color="auto"/>
        <w:bottom w:val="none" w:sz="0" w:space="0" w:color="auto"/>
        <w:right w:val="none" w:sz="0" w:space="0" w:color="auto"/>
      </w:divBdr>
    </w:div>
    <w:div w:id="467747537">
      <w:bodyDiv w:val="1"/>
      <w:marLeft w:val="0"/>
      <w:marRight w:val="0"/>
      <w:marTop w:val="0"/>
      <w:marBottom w:val="0"/>
      <w:divBdr>
        <w:top w:val="none" w:sz="0" w:space="0" w:color="auto"/>
        <w:left w:val="none" w:sz="0" w:space="0" w:color="auto"/>
        <w:bottom w:val="none" w:sz="0" w:space="0" w:color="auto"/>
        <w:right w:val="none" w:sz="0" w:space="0" w:color="auto"/>
      </w:divBdr>
    </w:div>
    <w:div w:id="817962073">
      <w:bodyDiv w:val="1"/>
      <w:marLeft w:val="0"/>
      <w:marRight w:val="0"/>
      <w:marTop w:val="0"/>
      <w:marBottom w:val="0"/>
      <w:divBdr>
        <w:top w:val="none" w:sz="0" w:space="0" w:color="auto"/>
        <w:left w:val="none" w:sz="0" w:space="0" w:color="auto"/>
        <w:bottom w:val="none" w:sz="0" w:space="0" w:color="auto"/>
        <w:right w:val="none" w:sz="0" w:space="0" w:color="auto"/>
      </w:divBdr>
    </w:div>
    <w:div w:id="1271232385">
      <w:bodyDiv w:val="1"/>
      <w:marLeft w:val="0"/>
      <w:marRight w:val="0"/>
      <w:marTop w:val="0"/>
      <w:marBottom w:val="0"/>
      <w:divBdr>
        <w:top w:val="none" w:sz="0" w:space="0" w:color="auto"/>
        <w:left w:val="none" w:sz="0" w:space="0" w:color="auto"/>
        <w:bottom w:val="none" w:sz="0" w:space="0" w:color="auto"/>
        <w:right w:val="none" w:sz="0" w:space="0" w:color="auto"/>
      </w:divBdr>
    </w:div>
    <w:div w:id="1781104517">
      <w:bodyDiv w:val="1"/>
      <w:marLeft w:val="0"/>
      <w:marRight w:val="0"/>
      <w:marTop w:val="0"/>
      <w:marBottom w:val="0"/>
      <w:divBdr>
        <w:top w:val="none" w:sz="0" w:space="0" w:color="auto"/>
        <w:left w:val="none" w:sz="0" w:space="0" w:color="auto"/>
        <w:bottom w:val="none" w:sz="0" w:space="0" w:color="auto"/>
        <w:right w:val="none" w:sz="0" w:space="0" w:color="auto"/>
      </w:divBdr>
    </w:div>
    <w:div w:id="20882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Rockford</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Jaeger</dc:creator>
  <cp:keywords/>
  <dc:description/>
  <cp:lastModifiedBy>Angie Walker</cp:lastModifiedBy>
  <cp:revision>2</cp:revision>
  <dcterms:created xsi:type="dcterms:W3CDTF">2019-08-08T19:12:00Z</dcterms:created>
  <dcterms:modified xsi:type="dcterms:W3CDTF">2019-08-08T19:12:00Z</dcterms:modified>
</cp:coreProperties>
</file>